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CE89" w14:textId="77777777" w:rsidR="00072969" w:rsidRDefault="00000000">
      <w:pPr>
        <w:spacing w:after="106" w:line="259" w:lineRule="auto"/>
        <w:ind w:left="0" w:firstLine="0"/>
      </w:pPr>
      <w:r>
        <w:rPr>
          <w:rFonts w:cs="Source Sans Pro"/>
          <w:b/>
          <w:color w:val="2F5497"/>
          <w:sz w:val="29"/>
        </w:rPr>
        <w:t xml:space="preserve">Frequently Asked Questions </w:t>
      </w:r>
    </w:p>
    <w:p w14:paraId="6E0A567A" w14:textId="77777777" w:rsidR="00072969" w:rsidRDefault="00000000">
      <w:pPr>
        <w:spacing w:after="125" w:line="249" w:lineRule="auto"/>
        <w:ind w:left="-5"/>
      </w:pPr>
      <w:r>
        <w:rPr>
          <w:rFonts w:cs="Source Sans Pro"/>
          <w:b/>
          <w:color w:val="2F5497"/>
          <w:sz w:val="24"/>
        </w:rPr>
        <w:t xml:space="preserve">What is the Musical Theater Common Prescreen? </w:t>
      </w:r>
    </w:p>
    <w:p w14:paraId="1DA47824" w14:textId="77777777" w:rsidR="00072969" w:rsidRPr="003945B1" w:rsidRDefault="003945B1" w:rsidP="003945B1">
      <w:pPr>
        <w:spacing w:after="360" w:line="240" w:lineRule="auto"/>
        <w:ind w:left="0" w:firstLine="0"/>
        <w:rPr>
          <w:rFonts w:ascii="Open Sans" w:eastAsia="Times New Roman" w:hAnsi="Open Sans" w:cs="Open Sans"/>
          <w:color w:val="323232"/>
          <w:kern w:val="0"/>
          <w:sz w:val="24"/>
          <w:lang w:val="en-US" w:eastAsia="en-US"/>
          <w14:ligatures w14:val="none"/>
        </w:rPr>
      </w:pPr>
      <w:r w:rsidRPr="003945B1">
        <w:rPr>
          <w:rFonts w:ascii="Open Sans" w:eastAsia="Times New Roman" w:hAnsi="Open Sans" w:cs="Open Sans"/>
          <w:color w:val="323232"/>
          <w:kern w:val="0"/>
          <w:sz w:val="24"/>
          <w:lang w:val="en-US" w:eastAsia="en-US"/>
          <w14:ligatures w14:val="none"/>
        </w:rPr>
        <w:t>The Musical Theater Common Prescreen is an agreed upon set of criteria used for the videos that are required as part of the application process to musical theater programs. These institutions settled on given guidelines to initiate a streamlined process for both applicants and schools as well as to promote inclusivity in the admittance process.</w:t>
      </w:r>
    </w:p>
    <w:p w14:paraId="49A1AD42" w14:textId="77777777" w:rsidR="00072969" w:rsidRDefault="00000000">
      <w:pPr>
        <w:spacing w:after="0" w:line="249" w:lineRule="auto"/>
        <w:ind w:left="-5"/>
      </w:pPr>
      <w:r>
        <w:rPr>
          <w:rFonts w:cs="Source Sans Pro"/>
          <w:b/>
          <w:color w:val="2F5497"/>
          <w:sz w:val="24"/>
        </w:rPr>
        <w:t xml:space="preserve">Who can participate? </w:t>
      </w:r>
    </w:p>
    <w:p w14:paraId="5A808EF2" w14:textId="77777777" w:rsidR="003945B1" w:rsidRPr="003945B1" w:rsidRDefault="003945B1" w:rsidP="003945B1">
      <w:pPr>
        <w:spacing w:after="360" w:line="240" w:lineRule="auto"/>
        <w:ind w:left="0" w:firstLine="0"/>
        <w:rPr>
          <w:rFonts w:ascii="Open Sans" w:eastAsia="Times New Roman" w:hAnsi="Open Sans" w:cs="Open Sans"/>
          <w:color w:val="323232"/>
          <w:kern w:val="0"/>
          <w:sz w:val="24"/>
          <w:lang w:val="en-US" w:eastAsia="en-US"/>
          <w14:ligatures w14:val="none"/>
        </w:rPr>
      </w:pPr>
      <w:r w:rsidRPr="003945B1">
        <w:rPr>
          <w:rFonts w:ascii="Open Sans" w:eastAsia="Times New Roman" w:hAnsi="Open Sans" w:cs="Open Sans"/>
          <w:color w:val="323232"/>
          <w:kern w:val="0"/>
          <w:sz w:val="24"/>
          <w:lang w:val="en-US" w:eastAsia="en-US"/>
          <w14:ligatures w14:val="none"/>
        </w:rPr>
        <w:t>Any institution that requires a digital prescreening for applicants may participate in the Musical Theater Common Prescreen. This includes universities, colleges, conservatories (domestic and international), independent schools of theater and theater education programs. </w:t>
      </w:r>
      <w:r w:rsidRPr="003945B1">
        <w:rPr>
          <w:rFonts w:ascii="Open Sans" w:eastAsia="Times New Roman" w:hAnsi="Open Sans" w:cs="Open Sans"/>
          <w:b/>
          <w:bCs/>
          <w:color w:val="323232"/>
          <w:kern w:val="0"/>
          <w:sz w:val="24"/>
          <w:lang w:val="en-US" w:eastAsia="en-US"/>
          <w14:ligatures w14:val="none"/>
        </w:rPr>
        <w:t>Your institution will need to register your options each season so we can update our website. Email us at </w:t>
      </w:r>
      <w:hyperlink r:id="rId4" w:tgtFrame="_blank" w:history="1">
        <w:r w:rsidRPr="003945B1">
          <w:rPr>
            <w:rFonts w:ascii="Open Sans" w:eastAsia="Times New Roman" w:hAnsi="Open Sans" w:cs="Open Sans"/>
            <w:b/>
            <w:bCs/>
            <w:color w:val="058BA0"/>
            <w:kern w:val="0"/>
            <w:sz w:val="24"/>
            <w:u w:val="single"/>
            <w:lang w:val="en-US" w:eastAsia="en-US"/>
            <w14:ligatures w14:val="none"/>
          </w:rPr>
          <w:t>mtcp@getacceptd.com</w:t>
        </w:r>
      </w:hyperlink>
      <w:r w:rsidRPr="003945B1">
        <w:rPr>
          <w:rFonts w:ascii="Open Sans" w:eastAsia="Times New Roman" w:hAnsi="Open Sans" w:cs="Open Sans"/>
          <w:b/>
          <w:bCs/>
          <w:color w:val="323232"/>
          <w:kern w:val="0"/>
          <w:sz w:val="24"/>
          <w:lang w:val="en-US" w:eastAsia="en-US"/>
          <w14:ligatures w14:val="none"/>
        </w:rPr>
        <w:t> to receive an updated form.</w:t>
      </w:r>
    </w:p>
    <w:p w14:paraId="10F8CF2E" w14:textId="77777777" w:rsidR="00072969" w:rsidRDefault="00000000">
      <w:pPr>
        <w:spacing w:after="0" w:line="259" w:lineRule="auto"/>
        <w:ind w:left="0" w:firstLine="0"/>
      </w:pPr>
      <w:r>
        <w:rPr>
          <w:rFonts w:cs="Source Sans Pro"/>
          <w:color w:val="2F5497"/>
          <w:sz w:val="24"/>
        </w:rPr>
        <w:t xml:space="preserve"> </w:t>
      </w:r>
    </w:p>
    <w:p w14:paraId="3430D574" w14:textId="77777777" w:rsidR="00072969" w:rsidRDefault="00000000">
      <w:pPr>
        <w:spacing w:after="0" w:line="249" w:lineRule="auto"/>
        <w:ind w:left="-5"/>
      </w:pPr>
      <w:r>
        <w:rPr>
          <w:rFonts w:cs="Source Sans Pro"/>
          <w:b/>
          <w:color w:val="2F5497"/>
          <w:sz w:val="24"/>
        </w:rPr>
        <w:t xml:space="preserve">Do institutions need to utilize an online media platform such as </w:t>
      </w:r>
      <w:proofErr w:type="spellStart"/>
      <w:r>
        <w:rPr>
          <w:rFonts w:cs="Source Sans Pro"/>
          <w:b/>
          <w:color w:val="2F5497"/>
          <w:sz w:val="24"/>
        </w:rPr>
        <w:t>Acceptd</w:t>
      </w:r>
      <w:proofErr w:type="spellEnd"/>
      <w:r>
        <w:rPr>
          <w:rFonts w:cs="Source Sans Pro"/>
          <w:b/>
          <w:color w:val="2F5497"/>
          <w:sz w:val="24"/>
        </w:rPr>
        <w:t xml:space="preserve"> or Slate to be part of this initiative? </w:t>
      </w:r>
    </w:p>
    <w:p w14:paraId="50799064" w14:textId="77777777" w:rsidR="00072969" w:rsidRPr="003945B1" w:rsidRDefault="003945B1" w:rsidP="003945B1">
      <w:pPr>
        <w:spacing w:after="360" w:line="240" w:lineRule="auto"/>
        <w:ind w:left="0" w:firstLine="0"/>
        <w:rPr>
          <w:rFonts w:ascii="Open Sans" w:eastAsia="Times New Roman" w:hAnsi="Open Sans" w:cs="Open Sans"/>
          <w:color w:val="323232"/>
          <w:kern w:val="0"/>
          <w:sz w:val="24"/>
          <w:lang w:val="en-US" w:eastAsia="en-US"/>
          <w14:ligatures w14:val="none"/>
        </w:rPr>
      </w:pPr>
      <w:r w:rsidRPr="003945B1">
        <w:rPr>
          <w:rFonts w:ascii="Open Sans" w:eastAsia="Times New Roman" w:hAnsi="Open Sans" w:cs="Open Sans"/>
          <w:color w:val="323232"/>
          <w:kern w:val="0"/>
          <w:sz w:val="24"/>
          <w:lang w:val="en-US" w:eastAsia="en-US"/>
          <w14:ligatures w14:val="none"/>
        </w:rPr>
        <w:t>No. Participation is voluntary and not dependent on affiliation with any organization. The Musical Theater Common Prescreen is not a centralized online platform. Instead, it is a set of guidelines applied to a program’s existing application process. Each individual institution will continue to receive applications and digital media. Wherever guidelines are listed, schools should state that they are a participant in the Musical Theater Common Prescreen and list the options they have chosen.</w:t>
      </w:r>
      <w:r>
        <w:rPr>
          <w:rFonts w:cs="Source Sans Pro"/>
          <w:b/>
          <w:color w:val="2F5497"/>
          <w:sz w:val="24"/>
        </w:rPr>
        <w:t xml:space="preserve"> </w:t>
      </w:r>
    </w:p>
    <w:p w14:paraId="62A53095" w14:textId="77777777" w:rsidR="00072969" w:rsidRDefault="00000000" w:rsidP="003945B1">
      <w:pPr>
        <w:spacing w:after="0" w:line="241" w:lineRule="auto"/>
        <w:ind w:left="0" w:right="189" w:firstLine="0"/>
        <w:jc w:val="both"/>
      </w:pPr>
      <w:r>
        <w:rPr>
          <w:rFonts w:cs="Source Sans Pro"/>
          <w:b/>
          <w:color w:val="2F5497"/>
          <w:sz w:val="24"/>
        </w:rPr>
        <w:t xml:space="preserve">If a program does not use a digital prescreening process, can they be involved? </w:t>
      </w:r>
    </w:p>
    <w:p w14:paraId="76459F50" w14:textId="77777777" w:rsidR="003945B1" w:rsidRPr="003945B1" w:rsidRDefault="003945B1" w:rsidP="003945B1">
      <w:pPr>
        <w:spacing w:after="360" w:line="240" w:lineRule="auto"/>
        <w:ind w:left="0" w:firstLine="0"/>
        <w:rPr>
          <w:rFonts w:ascii="Open Sans" w:eastAsia="Times New Roman" w:hAnsi="Open Sans" w:cs="Open Sans"/>
          <w:color w:val="323232"/>
          <w:kern w:val="0"/>
          <w:sz w:val="24"/>
          <w:lang w:val="en-US" w:eastAsia="en-US"/>
          <w14:ligatures w14:val="none"/>
        </w:rPr>
      </w:pPr>
      <w:r w:rsidRPr="003945B1">
        <w:rPr>
          <w:rFonts w:ascii="Open Sans" w:eastAsia="Times New Roman" w:hAnsi="Open Sans" w:cs="Open Sans"/>
          <w:color w:val="323232"/>
          <w:kern w:val="0"/>
          <w:sz w:val="24"/>
          <w:lang w:val="en-US" w:eastAsia="en-US"/>
          <w14:ligatures w14:val="none"/>
        </w:rPr>
        <w:t xml:space="preserve">Any program may utilize the criteria for any number of screening opportunities including digital audition submissions and live auditions. Heads of Department should contact </w:t>
      </w:r>
      <w:proofErr w:type="spellStart"/>
      <w:r w:rsidRPr="003945B1">
        <w:rPr>
          <w:rFonts w:ascii="Open Sans" w:eastAsia="Times New Roman" w:hAnsi="Open Sans" w:cs="Open Sans"/>
          <w:color w:val="323232"/>
          <w:kern w:val="0"/>
          <w:sz w:val="24"/>
          <w:lang w:val="en-US" w:eastAsia="en-US"/>
          <w14:ligatures w14:val="none"/>
        </w:rPr>
        <w:t>Acceptd</w:t>
      </w:r>
      <w:proofErr w:type="spellEnd"/>
      <w:r w:rsidRPr="003945B1">
        <w:rPr>
          <w:rFonts w:ascii="Open Sans" w:eastAsia="Times New Roman" w:hAnsi="Open Sans" w:cs="Open Sans"/>
          <w:color w:val="323232"/>
          <w:kern w:val="0"/>
          <w:sz w:val="24"/>
          <w:lang w:val="en-US" w:eastAsia="en-US"/>
          <w14:ligatures w14:val="none"/>
        </w:rPr>
        <w:t xml:space="preserve"> (</w:t>
      </w:r>
      <w:hyperlink r:id="rId5" w:tgtFrame="_blank" w:history="1">
        <w:r w:rsidRPr="003945B1">
          <w:rPr>
            <w:rFonts w:ascii="Open Sans" w:eastAsia="Times New Roman" w:hAnsi="Open Sans" w:cs="Open Sans"/>
            <w:color w:val="058BA0"/>
            <w:kern w:val="0"/>
            <w:sz w:val="24"/>
            <w:u w:val="single"/>
            <w:lang w:val="en-US" w:eastAsia="en-US"/>
            <w14:ligatures w14:val="none"/>
          </w:rPr>
          <w:t>mtcp@getacceptd.com)</w:t>
        </w:r>
      </w:hyperlink>
      <w:r w:rsidRPr="003945B1">
        <w:rPr>
          <w:rFonts w:ascii="Open Sans" w:eastAsia="Times New Roman" w:hAnsi="Open Sans" w:cs="Open Sans"/>
          <w:color w:val="323232"/>
          <w:kern w:val="0"/>
          <w:sz w:val="24"/>
          <w:lang w:val="en-US" w:eastAsia="en-US"/>
          <w14:ligatures w14:val="none"/>
        </w:rPr>
        <w:t> so their name can be added to the master list for press and distribution and to identify how their program will be using the guidelines.</w:t>
      </w:r>
    </w:p>
    <w:p w14:paraId="67FDC270" w14:textId="77777777" w:rsidR="00072969" w:rsidRDefault="00000000">
      <w:pPr>
        <w:spacing w:after="0" w:line="259" w:lineRule="auto"/>
        <w:ind w:left="0" w:firstLine="0"/>
      </w:pPr>
      <w:r>
        <w:rPr>
          <w:rFonts w:cs="Source Sans Pro"/>
          <w:color w:val="2F5497"/>
          <w:sz w:val="24"/>
        </w:rPr>
        <w:t xml:space="preserve"> </w:t>
      </w:r>
    </w:p>
    <w:p w14:paraId="0D191EA1" w14:textId="77777777" w:rsidR="003945B1" w:rsidRDefault="003945B1" w:rsidP="003945B1">
      <w:pPr>
        <w:spacing w:after="0" w:line="249" w:lineRule="auto"/>
        <w:ind w:left="-5"/>
        <w:rPr>
          <w:rFonts w:cs="Source Sans Pro"/>
          <w:b/>
          <w:color w:val="2F5497"/>
          <w:sz w:val="24"/>
        </w:rPr>
      </w:pPr>
    </w:p>
    <w:p w14:paraId="17B8B519" w14:textId="77777777" w:rsidR="003945B1" w:rsidRDefault="003945B1" w:rsidP="003945B1">
      <w:pPr>
        <w:spacing w:after="0" w:line="249" w:lineRule="auto"/>
        <w:ind w:left="-5"/>
        <w:rPr>
          <w:rFonts w:cs="Source Sans Pro"/>
          <w:b/>
          <w:color w:val="2F5497"/>
          <w:sz w:val="24"/>
        </w:rPr>
      </w:pPr>
    </w:p>
    <w:p w14:paraId="240832CF" w14:textId="77777777" w:rsidR="003945B1" w:rsidRDefault="003945B1" w:rsidP="003945B1">
      <w:pPr>
        <w:spacing w:after="0" w:line="249" w:lineRule="auto"/>
        <w:ind w:left="-5"/>
        <w:rPr>
          <w:rFonts w:cs="Source Sans Pro"/>
          <w:b/>
          <w:color w:val="2F5497"/>
          <w:sz w:val="24"/>
        </w:rPr>
      </w:pPr>
    </w:p>
    <w:p w14:paraId="699207E9" w14:textId="77777777" w:rsidR="003945B1" w:rsidRDefault="00000000" w:rsidP="003945B1">
      <w:pPr>
        <w:spacing w:after="0" w:line="249" w:lineRule="auto"/>
        <w:ind w:left="-5"/>
      </w:pPr>
      <w:r>
        <w:rPr>
          <w:rFonts w:cs="Source Sans Pro"/>
          <w:b/>
          <w:color w:val="2F5497"/>
          <w:sz w:val="24"/>
        </w:rPr>
        <w:lastRenderedPageBreak/>
        <w:t xml:space="preserve">Is this Common Prescreen linked or associated to the Common App? </w:t>
      </w:r>
    </w:p>
    <w:p w14:paraId="2246783F" w14:textId="77777777" w:rsidR="00072969" w:rsidRDefault="003945B1" w:rsidP="003945B1">
      <w:pPr>
        <w:spacing w:after="0" w:line="249" w:lineRule="auto"/>
        <w:ind w:left="-5"/>
        <w:rPr>
          <w:rFonts w:cs="Source Sans Pro"/>
          <w:b/>
          <w:color w:val="2F5497"/>
          <w:sz w:val="24"/>
        </w:rPr>
      </w:pPr>
      <w:r>
        <w:rPr>
          <w:rFonts w:ascii="Open Sans" w:hAnsi="Open Sans" w:cs="Open Sans"/>
          <w:color w:val="323232"/>
        </w:rPr>
        <w:t>No. The word “common” was utilized to promote inclusivity and to reinforce that one “common” set of guidelines would be recognized amongst various musical theater training programs.</w:t>
      </w:r>
      <w:r>
        <w:rPr>
          <w:rFonts w:cs="Source Sans Pro"/>
          <w:b/>
          <w:color w:val="2F5497"/>
          <w:sz w:val="24"/>
        </w:rPr>
        <w:t xml:space="preserve"> </w:t>
      </w:r>
    </w:p>
    <w:p w14:paraId="047FD35F" w14:textId="77777777" w:rsidR="003945B1" w:rsidRDefault="003945B1" w:rsidP="003945B1">
      <w:pPr>
        <w:spacing w:after="0" w:line="249" w:lineRule="auto"/>
        <w:ind w:left="-5"/>
      </w:pPr>
    </w:p>
    <w:p w14:paraId="36DC85C1" w14:textId="77777777" w:rsidR="00072969" w:rsidRDefault="00000000">
      <w:pPr>
        <w:spacing w:after="0" w:line="249" w:lineRule="auto"/>
        <w:ind w:left="-5"/>
      </w:pPr>
      <w:r>
        <w:rPr>
          <w:rFonts w:cs="Source Sans Pro"/>
          <w:b/>
          <w:color w:val="2F5497"/>
          <w:sz w:val="24"/>
        </w:rPr>
        <w:t xml:space="preserve">Does this take the place of or change the criteria for a live audition? </w:t>
      </w:r>
    </w:p>
    <w:p w14:paraId="45041754" w14:textId="77777777" w:rsidR="00072969" w:rsidRPr="003945B1" w:rsidRDefault="003945B1" w:rsidP="003945B1">
      <w:pPr>
        <w:spacing w:after="360" w:line="240" w:lineRule="auto"/>
        <w:ind w:left="0" w:firstLine="0"/>
        <w:rPr>
          <w:rFonts w:ascii="Open Sans" w:eastAsia="Times New Roman" w:hAnsi="Open Sans" w:cs="Open Sans"/>
          <w:color w:val="323232"/>
          <w:kern w:val="0"/>
          <w:sz w:val="24"/>
          <w:lang w:val="en-US" w:eastAsia="en-US"/>
          <w14:ligatures w14:val="none"/>
        </w:rPr>
      </w:pPr>
      <w:r w:rsidRPr="003945B1">
        <w:rPr>
          <w:rFonts w:ascii="Open Sans" w:eastAsia="Times New Roman" w:hAnsi="Open Sans" w:cs="Open Sans"/>
          <w:color w:val="323232"/>
          <w:kern w:val="0"/>
          <w:sz w:val="24"/>
          <w:lang w:val="en-US" w:eastAsia="en-US"/>
          <w14:ligatures w14:val="none"/>
        </w:rPr>
        <w:t>No. Schools are urged to keep their live audition criteria as specific to their individual program needs as possible. We recognize that the audition process communicates the culture of a school and believe that students can learn greatly about an institution by what is asked of them in their live audition.</w:t>
      </w:r>
      <w:r>
        <w:rPr>
          <w:rFonts w:cs="Source Sans Pro"/>
          <w:color w:val="2F5497"/>
          <w:sz w:val="24"/>
        </w:rPr>
        <w:t xml:space="preserve"> </w:t>
      </w:r>
    </w:p>
    <w:p w14:paraId="48FFBFAA" w14:textId="77777777" w:rsidR="00072969" w:rsidRDefault="00000000">
      <w:pPr>
        <w:spacing w:after="0" w:line="249" w:lineRule="auto"/>
        <w:ind w:left="-5"/>
      </w:pPr>
      <w:r>
        <w:rPr>
          <w:rFonts w:cs="Source Sans Pro"/>
          <w:b/>
          <w:color w:val="2F5497"/>
          <w:sz w:val="24"/>
        </w:rPr>
        <w:t xml:space="preserve">What does it cost the university to participate in the Musical Theater Common Prescreen? </w:t>
      </w:r>
    </w:p>
    <w:p w14:paraId="1668C7E8" w14:textId="77777777" w:rsidR="00072969" w:rsidRPr="003945B1" w:rsidRDefault="003945B1" w:rsidP="003945B1">
      <w:pPr>
        <w:spacing w:after="360" w:line="240" w:lineRule="auto"/>
        <w:ind w:left="0" w:firstLine="0"/>
        <w:rPr>
          <w:rFonts w:ascii="Open Sans" w:eastAsia="Times New Roman" w:hAnsi="Open Sans" w:cs="Open Sans"/>
          <w:color w:val="323232"/>
          <w:kern w:val="0"/>
          <w:sz w:val="24"/>
          <w:lang w:val="en-US" w:eastAsia="en-US"/>
          <w14:ligatures w14:val="none"/>
        </w:rPr>
      </w:pPr>
      <w:r w:rsidRPr="003945B1">
        <w:rPr>
          <w:rFonts w:ascii="Open Sans" w:eastAsia="Times New Roman" w:hAnsi="Open Sans" w:cs="Open Sans"/>
          <w:color w:val="323232"/>
          <w:kern w:val="0"/>
          <w:sz w:val="24"/>
          <w:lang w:val="en-US" w:eastAsia="en-US"/>
          <w14:ligatures w14:val="none"/>
        </w:rPr>
        <w:t>There is no fee to the school or to the student. Institutions will continue to set their own individual application fees.</w:t>
      </w:r>
      <w:r>
        <w:rPr>
          <w:rFonts w:cs="Source Sans Pro"/>
          <w:color w:val="2F5497"/>
          <w:sz w:val="24"/>
        </w:rPr>
        <w:t xml:space="preserve"> </w:t>
      </w:r>
    </w:p>
    <w:p w14:paraId="4CC9DF61" w14:textId="77777777" w:rsidR="00072969" w:rsidRDefault="00000000">
      <w:pPr>
        <w:spacing w:after="0" w:line="249" w:lineRule="auto"/>
        <w:ind w:left="-5"/>
      </w:pPr>
      <w:r>
        <w:rPr>
          <w:rFonts w:cs="Source Sans Pro"/>
          <w:b/>
          <w:color w:val="2F5497"/>
          <w:sz w:val="24"/>
        </w:rPr>
        <w:t xml:space="preserve">What categories of required material does the Musical Theater Common Prescreen cover? </w:t>
      </w:r>
    </w:p>
    <w:p w14:paraId="778B6CBE" w14:textId="77777777" w:rsidR="00072969" w:rsidRPr="003945B1" w:rsidRDefault="003945B1" w:rsidP="003945B1">
      <w:pPr>
        <w:spacing w:after="360" w:line="240" w:lineRule="auto"/>
        <w:ind w:left="0" w:firstLine="0"/>
        <w:rPr>
          <w:rFonts w:ascii="Open Sans" w:eastAsia="Times New Roman" w:hAnsi="Open Sans" w:cs="Open Sans"/>
          <w:color w:val="323232"/>
          <w:kern w:val="0"/>
          <w:sz w:val="24"/>
          <w:lang w:val="en-US" w:eastAsia="en-US"/>
          <w14:ligatures w14:val="none"/>
        </w:rPr>
      </w:pPr>
      <w:r w:rsidRPr="003945B1">
        <w:rPr>
          <w:rFonts w:ascii="Open Sans" w:eastAsia="Times New Roman" w:hAnsi="Open Sans" w:cs="Open Sans"/>
          <w:color w:val="323232"/>
          <w:kern w:val="0"/>
          <w:sz w:val="24"/>
          <w:lang w:val="en-US" w:eastAsia="en-US"/>
          <w14:ligatures w14:val="none"/>
        </w:rPr>
        <w:t>The MTCP Committee set criteria for “Song”, “Monologue”, “Dance, “Wild Card”, and “Slating” requirements. A resources page of “quick tips” to help applicants was added in 2020.</w:t>
      </w:r>
      <w:r>
        <w:rPr>
          <w:rFonts w:cs="Source Sans Pro"/>
          <w:color w:val="2F5497"/>
          <w:sz w:val="24"/>
        </w:rPr>
        <w:t xml:space="preserve"> </w:t>
      </w:r>
    </w:p>
    <w:p w14:paraId="3AD7B36E" w14:textId="77777777" w:rsidR="00072969" w:rsidRDefault="00000000">
      <w:pPr>
        <w:spacing w:after="0" w:line="249" w:lineRule="auto"/>
        <w:ind w:left="-5"/>
      </w:pPr>
      <w:r>
        <w:rPr>
          <w:rFonts w:cs="Source Sans Pro"/>
          <w:b/>
          <w:color w:val="2F5497"/>
          <w:sz w:val="24"/>
        </w:rPr>
        <w:t xml:space="preserve">There are two options for each category. Do institutions have to choose just one or can we use both? </w:t>
      </w:r>
    </w:p>
    <w:p w14:paraId="000B46ED" w14:textId="77777777" w:rsidR="00072969" w:rsidRPr="003945B1" w:rsidRDefault="003945B1" w:rsidP="003945B1">
      <w:pPr>
        <w:spacing w:after="360" w:line="240" w:lineRule="auto"/>
        <w:ind w:left="0" w:firstLine="0"/>
        <w:rPr>
          <w:rFonts w:ascii="Open Sans" w:eastAsia="Times New Roman" w:hAnsi="Open Sans" w:cs="Open Sans"/>
          <w:color w:val="323232"/>
          <w:kern w:val="0"/>
          <w:sz w:val="24"/>
          <w:lang w:val="en-US" w:eastAsia="en-US"/>
          <w14:ligatures w14:val="none"/>
        </w:rPr>
      </w:pPr>
      <w:r w:rsidRPr="003945B1">
        <w:rPr>
          <w:rFonts w:ascii="Open Sans" w:eastAsia="Times New Roman" w:hAnsi="Open Sans" w:cs="Open Sans"/>
          <w:color w:val="323232"/>
          <w:kern w:val="0"/>
          <w:sz w:val="24"/>
          <w:lang w:val="en-US" w:eastAsia="en-US"/>
          <w14:ligatures w14:val="none"/>
        </w:rPr>
        <w:t>Institutions may use one option or allow the student to choose either option.</w:t>
      </w:r>
      <w:r>
        <w:rPr>
          <w:rFonts w:cs="Source Sans Pro"/>
          <w:b/>
          <w:color w:val="2F5497"/>
          <w:sz w:val="24"/>
        </w:rPr>
        <w:t xml:space="preserve"> </w:t>
      </w:r>
    </w:p>
    <w:p w14:paraId="4BAC9BE8" w14:textId="77777777" w:rsidR="00072969" w:rsidRDefault="00000000">
      <w:pPr>
        <w:spacing w:after="0" w:line="249" w:lineRule="auto"/>
        <w:ind w:left="-5"/>
      </w:pPr>
      <w:r>
        <w:rPr>
          <w:rFonts w:cs="Source Sans Pro"/>
          <w:b/>
          <w:color w:val="2F5497"/>
          <w:sz w:val="24"/>
        </w:rPr>
        <w:t xml:space="preserve">Are institutions permitted to change and tweak the verbiage in the Musical Theater Common Prescreen? </w:t>
      </w:r>
    </w:p>
    <w:p w14:paraId="37E5FAC2" w14:textId="77777777" w:rsidR="00072969" w:rsidRPr="003945B1" w:rsidRDefault="003945B1" w:rsidP="003945B1">
      <w:pPr>
        <w:spacing w:after="360" w:line="240" w:lineRule="auto"/>
        <w:ind w:left="0" w:firstLine="0"/>
        <w:rPr>
          <w:rFonts w:ascii="Open Sans" w:eastAsia="Times New Roman" w:hAnsi="Open Sans" w:cs="Open Sans"/>
          <w:color w:val="auto"/>
          <w:kern w:val="0"/>
          <w:sz w:val="24"/>
          <w:lang w:val="en-US" w:eastAsia="en-US"/>
          <w14:ligatures w14:val="none"/>
        </w:rPr>
      </w:pPr>
      <w:r w:rsidRPr="003945B1">
        <w:rPr>
          <w:rFonts w:ascii="Open Sans" w:eastAsia="Times New Roman" w:hAnsi="Open Sans" w:cs="Open Sans"/>
          <w:color w:val="auto"/>
          <w:kern w:val="0"/>
          <w:sz w:val="24"/>
          <w:lang w:val="en-US" w:eastAsia="en-US"/>
          <w14:ligatures w14:val="none"/>
        </w:rPr>
        <w:t>No. To be a participant, an institution must utilize verbiage verbatim. The promotion of “common” verbiage is what will create ease of process and discourage confusion and questions.</w:t>
      </w:r>
    </w:p>
    <w:sectPr w:rsidR="00072969" w:rsidRPr="003945B1">
      <w:pgSz w:w="12240" w:h="15840"/>
      <w:pgMar w:top="1496" w:right="1497" w:bottom="1645"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4D"/>
    <w:family w:val="swiss"/>
    <w:pitch w:val="variable"/>
    <w:sig w:usb0="20000007" w:usb1="00000001" w:usb2="00000000" w:usb3="00000000" w:csb0="0000019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969"/>
    <w:rsid w:val="00072969"/>
    <w:rsid w:val="003945B1"/>
    <w:rsid w:val="004778FF"/>
    <w:rsid w:val="00B6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C8011"/>
  <w15:docId w15:val="{AB01A791-8E0B-8640-93AA-B0D177CC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pPr>
    <w:rPr>
      <w:rFonts w:ascii="Source Sans Pro" w:eastAsia="Source Sans Pro" w:hAnsi="Source Sans Pro" w:cs="Times New Roman"/>
      <w:color w:val="000000"/>
      <w:sz w:val="23"/>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45B1"/>
    <w:pPr>
      <w:spacing w:before="100" w:beforeAutospacing="1" w:after="100" w:afterAutospacing="1" w:line="240" w:lineRule="auto"/>
      <w:ind w:left="0" w:firstLine="0"/>
    </w:pPr>
    <w:rPr>
      <w:rFonts w:ascii="Times New Roman" w:eastAsia="Times New Roman" w:hAnsi="Times New Roman"/>
      <w:color w:val="auto"/>
      <w:kern w:val="0"/>
      <w:sz w:val="24"/>
      <w:lang w:val="en-US" w:eastAsia="en-US"/>
      <w14:ligatures w14:val="none"/>
    </w:rPr>
  </w:style>
  <w:style w:type="character" w:styleId="Strong">
    <w:name w:val="Strong"/>
    <w:basedOn w:val="DefaultParagraphFont"/>
    <w:uiPriority w:val="22"/>
    <w:qFormat/>
    <w:rsid w:val="003945B1"/>
    <w:rPr>
      <w:b/>
      <w:bCs/>
    </w:rPr>
  </w:style>
  <w:style w:type="character" w:styleId="Hyperlink">
    <w:name w:val="Hyperlink"/>
    <w:basedOn w:val="DefaultParagraphFont"/>
    <w:uiPriority w:val="99"/>
    <w:semiHidden/>
    <w:unhideWhenUsed/>
    <w:rsid w:val="003945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7228">
      <w:bodyDiv w:val="1"/>
      <w:marLeft w:val="0"/>
      <w:marRight w:val="0"/>
      <w:marTop w:val="0"/>
      <w:marBottom w:val="0"/>
      <w:divBdr>
        <w:top w:val="none" w:sz="0" w:space="0" w:color="auto"/>
        <w:left w:val="none" w:sz="0" w:space="0" w:color="auto"/>
        <w:bottom w:val="none" w:sz="0" w:space="0" w:color="auto"/>
        <w:right w:val="none" w:sz="0" w:space="0" w:color="auto"/>
      </w:divBdr>
    </w:div>
    <w:div w:id="76632017">
      <w:bodyDiv w:val="1"/>
      <w:marLeft w:val="0"/>
      <w:marRight w:val="0"/>
      <w:marTop w:val="0"/>
      <w:marBottom w:val="0"/>
      <w:divBdr>
        <w:top w:val="none" w:sz="0" w:space="0" w:color="auto"/>
        <w:left w:val="none" w:sz="0" w:space="0" w:color="auto"/>
        <w:bottom w:val="none" w:sz="0" w:space="0" w:color="auto"/>
        <w:right w:val="none" w:sz="0" w:space="0" w:color="auto"/>
      </w:divBdr>
    </w:div>
    <w:div w:id="603460122">
      <w:bodyDiv w:val="1"/>
      <w:marLeft w:val="0"/>
      <w:marRight w:val="0"/>
      <w:marTop w:val="0"/>
      <w:marBottom w:val="0"/>
      <w:divBdr>
        <w:top w:val="none" w:sz="0" w:space="0" w:color="auto"/>
        <w:left w:val="none" w:sz="0" w:space="0" w:color="auto"/>
        <w:bottom w:val="none" w:sz="0" w:space="0" w:color="auto"/>
        <w:right w:val="none" w:sz="0" w:space="0" w:color="auto"/>
      </w:divBdr>
      <w:divsChild>
        <w:div w:id="198516840">
          <w:marLeft w:val="0"/>
          <w:marRight w:val="0"/>
          <w:marTop w:val="0"/>
          <w:marBottom w:val="0"/>
          <w:divBdr>
            <w:top w:val="none" w:sz="0" w:space="0" w:color="auto"/>
            <w:left w:val="none" w:sz="0" w:space="0" w:color="auto"/>
            <w:bottom w:val="none" w:sz="0" w:space="0" w:color="auto"/>
            <w:right w:val="none" w:sz="0" w:space="0" w:color="auto"/>
          </w:divBdr>
          <w:divsChild>
            <w:div w:id="590088393">
              <w:marLeft w:val="0"/>
              <w:marRight w:val="0"/>
              <w:marTop w:val="0"/>
              <w:marBottom w:val="0"/>
              <w:divBdr>
                <w:top w:val="none" w:sz="0" w:space="0" w:color="auto"/>
                <w:left w:val="none" w:sz="0" w:space="0" w:color="auto"/>
                <w:bottom w:val="none" w:sz="0" w:space="0" w:color="auto"/>
                <w:right w:val="none" w:sz="0" w:space="0" w:color="auto"/>
              </w:divBdr>
            </w:div>
          </w:divsChild>
        </w:div>
        <w:div w:id="1189103852">
          <w:marLeft w:val="0"/>
          <w:marRight w:val="0"/>
          <w:marTop w:val="0"/>
          <w:marBottom w:val="0"/>
          <w:divBdr>
            <w:top w:val="none" w:sz="0" w:space="0" w:color="auto"/>
            <w:left w:val="none" w:sz="0" w:space="0" w:color="auto"/>
            <w:bottom w:val="none" w:sz="0" w:space="0" w:color="auto"/>
            <w:right w:val="none" w:sz="0" w:space="0" w:color="auto"/>
          </w:divBdr>
        </w:div>
      </w:divsChild>
    </w:div>
    <w:div w:id="675959278">
      <w:bodyDiv w:val="1"/>
      <w:marLeft w:val="0"/>
      <w:marRight w:val="0"/>
      <w:marTop w:val="0"/>
      <w:marBottom w:val="0"/>
      <w:divBdr>
        <w:top w:val="none" w:sz="0" w:space="0" w:color="auto"/>
        <w:left w:val="none" w:sz="0" w:space="0" w:color="auto"/>
        <w:bottom w:val="none" w:sz="0" w:space="0" w:color="auto"/>
        <w:right w:val="none" w:sz="0" w:space="0" w:color="auto"/>
      </w:divBdr>
    </w:div>
    <w:div w:id="812597036">
      <w:bodyDiv w:val="1"/>
      <w:marLeft w:val="0"/>
      <w:marRight w:val="0"/>
      <w:marTop w:val="0"/>
      <w:marBottom w:val="0"/>
      <w:divBdr>
        <w:top w:val="none" w:sz="0" w:space="0" w:color="auto"/>
        <w:left w:val="none" w:sz="0" w:space="0" w:color="auto"/>
        <w:bottom w:val="none" w:sz="0" w:space="0" w:color="auto"/>
        <w:right w:val="none" w:sz="0" w:space="0" w:color="auto"/>
      </w:divBdr>
      <w:divsChild>
        <w:div w:id="1331639760">
          <w:marLeft w:val="0"/>
          <w:marRight w:val="0"/>
          <w:marTop w:val="0"/>
          <w:marBottom w:val="0"/>
          <w:divBdr>
            <w:top w:val="none" w:sz="0" w:space="0" w:color="auto"/>
            <w:left w:val="none" w:sz="0" w:space="0" w:color="auto"/>
            <w:bottom w:val="none" w:sz="0" w:space="0" w:color="auto"/>
            <w:right w:val="none" w:sz="0" w:space="0" w:color="auto"/>
          </w:divBdr>
          <w:divsChild>
            <w:div w:id="1733459528">
              <w:marLeft w:val="0"/>
              <w:marRight w:val="0"/>
              <w:marTop w:val="0"/>
              <w:marBottom w:val="0"/>
              <w:divBdr>
                <w:top w:val="none" w:sz="0" w:space="0" w:color="auto"/>
                <w:left w:val="none" w:sz="0" w:space="0" w:color="auto"/>
                <w:bottom w:val="none" w:sz="0" w:space="0" w:color="auto"/>
                <w:right w:val="none" w:sz="0" w:space="0" w:color="auto"/>
              </w:divBdr>
            </w:div>
          </w:divsChild>
        </w:div>
        <w:div w:id="1971396411">
          <w:marLeft w:val="0"/>
          <w:marRight w:val="0"/>
          <w:marTop w:val="0"/>
          <w:marBottom w:val="0"/>
          <w:divBdr>
            <w:top w:val="none" w:sz="0" w:space="0" w:color="auto"/>
            <w:left w:val="none" w:sz="0" w:space="0" w:color="auto"/>
            <w:bottom w:val="none" w:sz="0" w:space="0" w:color="auto"/>
            <w:right w:val="none" w:sz="0" w:space="0" w:color="auto"/>
          </w:divBdr>
        </w:div>
      </w:divsChild>
    </w:div>
    <w:div w:id="946154259">
      <w:bodyDiv w:val="1"/>
      <w:marLeft w:val="0"/>
      <w:marRight w:val="0"/>
      <w:marTop w:val="0"/>
      <w:marBottom w:val="0"/>
      <w:divBdr>
        <w:top w:val="none" w:sz="0" w:space="0" w:color="auto"/>
        <w:left w:val="none" w:sz="0" w:space="0" w:color="auto"/>
        <w:bottom w:val="none" w:sz="0" w:space="0" w:color="auto"/>
        <w:right w:val="none" w:sz="0" w:space="0" w:color="auto"/>
      </w:divBdr>
    </w:div>
    <w:div w:id="1041250566">
      <w:bodyDiv w:val="1"/>
      <w:marLeft w:val="0"/>
      <w:marRight w:val="0"/>
      <w:marTop w:val="0"/>
      <w:marBottom w:val="0"/>
      <w:divBdr>
        <w:top w:val="none" w:sz="0" w:space="0" w:color="auto"/>
        <w:left w:val="none" w:sz="0" w:space="0" w:color="auto"/>
        <w:bottom w:val="none" w:sz="0" w:space="0" w:color="auto"/>
        <w:right w:val="none" w:sz="0" w:space="0" w:color="auto"/>
      </w:divBdr>
    </w:div>
    <w:div w:id="1382096088">
      <w:bodyDiv w:val="1"/>
      <w:marLeft w:val="0"/>
      <w:marRight w:val="0"/>
      <w:marTop w:val="0"/>
      <w:marBottom w:val="0"/>
      <w:divBdr>
        <w:top w:val="none" w:sz="0" w:space="0" w:color="auto"/>
        <w:left w:val="none" w:sz="0" w:space="0" w:color="auto"/>
        <w:bottom w:val="none" w:sz="0" w:space="0" w:color="auto"/>
        <w:right w:val="none" w:sz="0" w:space="0" w:color="auto"/>
      </w:divBdr>
    </w:div>
    <w:div w:id="1470828159">
      <w:bodyDiv w:val="1"/>
      <w:marLeft w:val="0"/>
      <w:marRight w:val="0"/>
      <w:marTop w:val="0"/>
      <w:marBottom w:val="0"/>
      <w:divBdr>
        <w:top w:val="none" w:sz="0" w:space="0" w:color="auto"/>
        <w:left w:val="none" w:sz="0" w:space="0" w:color="auto"/>
        <w:bottom w:val="none" w:sz="0" w:space="0" w:color="auto"/>
        <w:right w:val="none" w:sz="0" w:space="0" w:color="auto"/>
      </w:divBdr>
    </w:div>
    <w:div w:id="1611664656">
      <w:bodyDiv w:val="1"/>
      <w:marLeft w:val="0"/>
      <w:marRight w:val="0"/>
      <w:marTop w:val="0"/>
      <w:marBottom w:val="0"/>
      <w:divBdr>
        <w:top w:val="none" w:sz="0" w:space="0" w:color="auto"/>
        <w:left w:val="none" w:sz="0" w:space="0" w:color="auto"/>
        <w:bottom w:val="none" w:sz="0" w:space="0" w:color="auto"/>
        <w:right w:val="none" w:sz="0" w:space="0" w:color="auto"/>
      </w:divBdr>
    </w:div>
    <w:div w:id="1870679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tcp@getacceptd.com" TargetMode="External"/><Relationship Id="rId4" Type="http://schemas.openxmlformats.org/officeDocument/2006/relationships/hyperlink" Target="mailto:mtcp@getaccept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Giauque, Marissa L</dc:creator>
  <cp:keywords/>
  <cp:lastModifiedBy>Marissa Giauque</cp:lastModifiedBy>
  <cp:revision>2</cp:revision>
  <dcterms:created xsi:type="dcterms:W3CDTF">2025-09-08T20:53:00Z</dcterms:created>
  <dcterms:modified xsi:type="dcterms:W3CDTF">2025-09-08T20:53:00Z</dcterms:modified>
</cp:coreProperties>
</file>